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56"/>
        <w:ind w:left="0" w:right="215" w:firstLine="0"/>
        <w:jc w:val="center"/>
        <w:rPr>
          <w:sz w:val="20"/>
        </w:rPr>
      </w:pPr>
      <w:r>
        <w:rPr>
          <w:spacing w:val="-2"/>
          <w:sz w:val="20"/>
        </w:rPr>
        <w:t>國立政治大學學生會學生議會第27屆第1會期第1</w:t>
      </w:r>
      <w:r>
        <w:rPr>
          <w:spacing w:val="-4"/>
          <w:sz w:val="20"/>
        </w:rPr>
        <w:t>次常會議事日程</w:t>
      </w:r>
    </w:p>
    <w:p>
      <w:pPr>
        <w:pStyle w:val="Heading1"/>
        <w:spacing w:before="88"/>
      </w:pPr>
      <w:r>
        <w:rPr>
          <w:spacing w:val="-3"/>
        </w:rPr>
        <w:t>報告事項</w:t>
      </w:r>
    </w:p>
    <w:p>
      <w:pPr>
        <w:pStyle w:val="BodyText"/>
        <w:spacing w:line="264" w:lineRule="auto" w:before="113"/>
        <w:ind w:left="177" w:right="3766"/>
      </w:pPr>
      <w:r>
        <w:rPr>
          <w:spacing w:val="-2"/>
        </w:rPr>
        <w:t>一、學生議員羅澤提出辭職，請備查案。</w:t>
      </w:r>
      <w:r>
        <w:rPr>
          <w:spacing w:val="40"/>
        </w:rPr>
        <w:t> </w:t>
      </w:r>
      <w:r>
        <w:rPr>
          <w:spacing w:val="-2"/>
        </w:rPr>
        <w:t>二、學生議員蕭家浩提出辭職，請備查案。</w:t>
      </w:r>
    </w:p>
    <w:p>
      <w:pPr>
        <w:pStyle w:val="BodyText"/>
        <w:spacing w:before="88"/>
        <w:ind w:left="0"/>
      </w:pPr>
    </w:p>
    <w:p>
      <w:pPr>
        <w:pStyle w:val="Heading1"/>
      </w:pPr>
      <w:r>
        <w:rPr>
          <w:spacing w:val="-3"/>
        </w:rPr>
        <w:t>討論事項</w:t>
      </w:r>
    </w:p>
    <w:p>
      <w:pPr>
        <w:pStyle w:val="BodyText"/>
        <w:spacing w:line="261" w:lineRule="auto" w:before="112"/>
        <w:ind w:right="886" w:hanging="480"/>
      </w:pPr>
      <w:r>
        <w:rPr>
          <w:spacing w:val="-2"/>
        </w:rPr>
        <w:t>一、擬修正「國立政治大學學生會選舉罷免法」部分條文，請審議案。秘書處意見：審竣後排入大會議程。</w:t>
      </w:r>
    </w:p>
    <w:p>
      <w:pPr>
        <w:pStyle w:val="BodyText"/>
        <w:spacing w:before="3"/>
      </w:pPr>
      <w:r>
        <w:rPr>
          <w:spacing w:val="-2"/>
        </w:rPr>
        <w:t>程法會決議：</w:t>
      </w:r>
    </w:p>
    <w:p>
      <w:pPr>
        <w:pStyle w:val="BodyText"/>
        <w:spacing w:line="264" w:lineRule="auto" w:before="39"/>
        <w:ind w:right="2086" w:hanging="480"/>
      </w:pPr>
      <w:r>
        <w:rPr>
          <w:spacing w:val="-2"/>
        </w:rPr>
        <w:t>二、提請學生議會審議第二十六屆學生會第二期間決算案。秘書處意見：審竣後排入大會議程。</w:t>
      </w:r>
    </w:p>
    <w:p>
      <w:pPr>
        <w:pStyle w:val="BodyText"/>
        <w:spacing w:line="431" w:lineRule="exact"/>
      </w:pPr>
      <w:r>
        <w:rPr>
          <w:spacing w:val="-2"/>
        </w:rPr>
        <w:t>程法會決議：</w:t>
      </w:r>
    </w:p>
    <w:p>
      <w:pPr>
        <w:pStyle w:val="BodyText"/>
        <w:spacing w:line="261" w:lineRule="auto" w:before="43"/>
        <w:ind w:right="2086" w:hanging="480"/>
      </w:pPr>
      <w:r>
        <w:rPr>
          <w:spacing w:val="-2"/>
        </w:rPr>
        <w:t>三、提請學生議會審議第二十七屆學生會第一期間預算案。秘書處意見：審竣後排入大會議程。</w:t>
      </w:r>
    </w:p>
    <w:p>
      <w:pPr>
        <w:pStyle w:val="BodyText"/>
        <w:spacing w:before="3"/>
      </w:pPr>
      <w:r>
        <w:rPr>
          <w:spacing w:val="-2"/>
        </w:rPr>
        <w:t>程法會決議：</w:t>
      </w:r>
    </w:p>
    <w:p>
      <w:pPr>
        <w:pStyle w:val="BodyText"/>
        <w:spacing w:before="128"/>
        <w:ind w:left="0"/>
      </w:pPr>
    </w:p>
    <w:p>
      <w:pPr>
        <w:spacing w:before="0"/>
        <w:ind w:left="177" w:right="0" w:firstLine="0"/>
        <w:jc w:val="left"/>
        <w:rPr>
          <w:rFonts w:ascii="ヒラギノ明朝 ProN W6" w:eastAsia="ヒラギノ明朝 ProN W6"/>
          <w:b/>
          <w:sz w:val="24"/>
        </w:rPr>
      </w:pPr>
      <w:r>
        <w:rPr>
          <w:rFonts w:ascii="ヒラギノ明朝 ProN W6" w:eastAsia="ヒラギノ明朝 ProN W6"/>
          <w:b/>
          <w:spacing w:val="-3"/>
          <w:sz w:val="24"/>
        </w:rPr>
        <w:t>臨時動議</w:t>
      </w:r>
    </w:p>
    <w:p>
      <w:pPr>
        <w:pStyle w:val="BodyText"/>
        <w:ind w:left="0"/>
        <w:rPr>
          <w:rFonts w:ascii="ヒラギノ明朝 ProN W6"/>
          <w:b/>
        </w:rPr>
      </w:pPr>
    </w:p>
    <w:p>
      <w:pPr>
        <w:pStyle w:val="BodyText"/>
        <w:spacing w:before="19"/>
        <w:ind w:left="0"/>
        <w:rPr>
          <w:rFonts w:ascii="ヒラギノ明朝 ProN W6"/>
          <w:b/>
        </w:rPr>
      </w:pPr>
    </w:p>
    <w:p>
      <w:pPr>
        <w:spacing w:before="0"/>
        <w:ind w:left="177" w:right="0" w:firstLine="0"/>
        <w:jc w:val="left"/>
        <w:rPr>
          <w:rFonts w:ascii="ヒラギノ明朝 ProN W6" w:eastAsia="ヒラギノ明朝 ProN W6"/>
          <w:b/>
          <w:sz w:val="24"/>
        </w:rPr>
      </w:pPr>
      <w:r>
        <w:rPr>
          <w:rFonts w:ascii="ヒラギノ明朝 ProN W6" w:eastAsia="ヒラギノ明朝 ProN W6"/>
          <w:b/>
          <w:spacing w:val="-2"/>
          <w:sz w:val="24"/>
        </w:rPr>
        <w:t>建議與聲明</w:t>
      </w:r>
    </w:p>
    <w:sectPr>
      <w:type w:val="continuous"/>
      <w:pgSz w:w="11910" w:h="16840"/>
      <w:pgMar w:top="128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ヒラギノ明朝 ProN W6">
    <w:altName w:val="ヒラギノ明朝 ProN W6"/>
    <w:charset w:val="0"/>
    <w:family w:val="roman"/>
    <w:pitch w:val="variable"/>
  </w:font>
  <w:font w:name="Lantinghei SC Extralight">
    <w:altName w:val="Lantinghei SC Extralight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antinghei SC Extralight" w:hAnsi="Lantinghei SC Extralight" w:eastAsia="Lantinghei SC Extralight" w:cs="Lantinghei SC Extralight"/>
      <w:lang w:val="en-US" w:eastAsia="zh-TW" w:bidi="ar-SA"/>
    </w:rPr>
  </w:style>
  <w:style w:styleId="BodyText" w:type="paragraph">
    <w:name w:val="Body Text"/>
    <w:basedOn w:val="Normal"/>
    <w:uiPriority w:val="1"/>
    <w:qFormat/>
    <w:pPr>
      <w:ind w:left="657"/>
    </w:pPr>
    <w:rPr>
      <w:rFonts w:ascii="Lantinghei SC Extralight" w:hAnsi="Lantinghei SC Extralight" w:eastAsia="Lantinghei SC Extralight" w:cs="Lantinghei SC Extralight"/>
      <w:sz w:val="24"/>
      <w:szCs w:val="24"/>
      <w:lang w:val="en-US" w:eastAsia="zh-TW" w:bidi="ar-SA"/>
    </w:rPr>
  </w:style>
  <w:style w:styleId="Heading1" w:type="paragraph">
    <w:name w:val="Heading 1"/>
    <w:basedOn w:val="Normal"/>
    <w:uiPriority w:val="1"/>
    <w:qFormat/>
    <w:pPr>
      <w:ind w:left="177"/>
      <w:outlineLvl w:val="1"/>
    </w:pPr>
    <w:rPr>
      <w:rFonts w:ascii="ヒラギノ明朝 ProN W6" w:hAnsi="ヒラギノ明朝 ProN W6" w:eastAsia="ヒラギノ明朝 ProN W6" w:cs="ヒラギノ明朝 ProN W6"/>
      <w:b/>
      <w:bCs/>
      <w:sz w:val="24"/>
      <w:szCs w:val="24"/>
      <w:lang w:val="en-US" w:eastAsia="zh-TW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zh-TW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zh-TW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2026-09-17T14:05:40Z</dcterms:created>
  <dcterms:modified xsi:type="dcterms:W3CDTF">2026-09-17T14:05:40Z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LastSaved">
    <vt:filetime>2026-09-17T00:00:00Z</vt:filetime>
  </property>
  <property fmtid="{D5CDD505-2E9C-101B-9397-08002B2CF9AE}" pid="4" name="Producer">
    <vt:lpwstr>macOS 版本26.2（版號25C56） Quartz PDFContext</vt:lpwstr>
  </property>
</Properties>
</file>